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widowControl w:val="0"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0"/>
          <w:szCs w:val="10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 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 – Мансийского автономного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дом 30), рассмотрев в открытом судебном заседании дело об административном правонарушении в отношении: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Петрова Ильи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User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>
        <w:rPr>
          <w:rStyle w:val="cat-UserDefinedgrp-4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06.03.2024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Петров И.Ю.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749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а/д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Тюмень-</w:t>
      </w:r>
      <w:r>
        <w:rPr>
          <w:rFonts w:ascii="Times New Roman" w:eastAsia="Times New Roman" w:hAnsi="Times New Roman" w:cs="Times New Roman"/>
          <w:sz w:val="26"/>
          <w:szCs w:val="26"/>
        </w:rPr>
        <w:t>Тобольск-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UserDefinedgrp-4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2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выездом на полосу, предназначенную для встречного движения в </w:t>
      </w:r>
      <w:r>
        <w:rPr>
          <w:rFonts w:ascii="Times New Roman" w:eastAsia="Times New Roman" w:hAnsi="Times New Roman" w:cs="Times New Roman"/>
          <w:sz w:val="26"/>
          <w:szCs w:val="26"/>
        </w:rPr>
        <w:t>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чем нарушил п. 1.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 дорожного движения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t>утвержденных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23.10.1993 года № 1090.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Петров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его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исследовав материалы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Style w:val="cat-UserDefinedgrp-4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которому, </w:t>
      </w:r>
      <w:r>
        <w:rPr>
          <w:rFonts w:ascii="Times New Roman" w:eastAsia="Times New Roman" w:hAnsi="Times New Roman" w:cs="Times New Roman"/>
          <w:sz w:val="26"/>
          <w:szCs w:val="26"/>
        </w:rPr>
        <w:t>Петров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21.01.2025 в 16 час. 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мин.,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749 км а/д Р404 Тюмень-Тобольск-Ханты-Мансийск, Нефтеюганского района,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а/м </w:t>
      </w:r>
      <w:r>
        <w:rPr>
          <w:rStyle w:val="cat-UserDefinedgrp-42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4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 обгон грузового транспортного средства с выездом на полосу, предназначенную для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подписанный </w:t>
      </w:r>
      <w:r>
        <w:rPr>
          <w:rFonts w:ascii="Times New Roman" w:eastAsia="Times New Roman" w:hAnsi="Times New Roman" w:cs="Times New Roman"/>
          <w:sz w:val="26"/>
          <w:szCs w:val="26"/>
        </w:rPr>
        <w:t>Петровым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подписи;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схемой места совершения административного правонарушения,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Петров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749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UserDefinedgrp-42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4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грузового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в зоне действия дорожного знака 3.20 «обгон запрещен» с выездом на встречную полосу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</w:t>
      </w:r>
      <w:r>
        <w:rPr>
          <w:rFonts w:ascii="Times New Roman" w:eastAsia="Times New Roman" w:hAnsi="Times New Roman" w:cs="Times New Roman"/>
          <w:sz w:val="26"/>
          <w:szCs w:val="26"/>
        </w:rPr>
        <w:t>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ДПС </w:t>
      </w:r>
      <w:r>
        <w:rPr>
          <w:rStyle w:val="cat-ExternalSystemDefinedgrp-37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 изложены обстоятельства выявленного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 дорожного движения автомобильной дороги, из которой следует, что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749 </w:t>
      </w:r>
      <w:r>
        <w:rPr>
          <w:rFonts w:ascii="Times New Roman" w:eastAsia="Times New Roman" w:hAnsi="Times New Roman" w:cs="Times New Roman"/>
          <w:sz w:val="26"/>
          <w:szCs w:val="26"/>
        </w:rPr>
        <w:t>км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а/д Р404 Тюмень-Тобольск-Ханты-Мансийск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распространяется 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дорожного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а/м </w:t>
      </w:r>
      <w:r>
        <w:rPr>
          <w:rStyle w:val="cat-UserDefinedgrp-42rplc-5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9rplc-52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 диспозиции ч. 4 ст. 12.15 КоАП РФ следует, что административно-противоправным и наказуемым признаетс</w:t>
      </w:r>
      <w:r>
        <w:rPr>
          <w:rFonts w:ascii="Times New Roman" w:eastAsia="Times New Roman" w:hAnsi="Times New Roman" w:cs="Times New Roman"/>
          <w:sz w:val="26"/>
          <w:szCs w:val="26"/>
        </w:rPr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разъяснениям содержащимся в Пленуме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Верховного Суда Российской Федерации от 25.06.2019 года № 20 «</w:t>
      </w:r>
      <w:r>
        <w:rPr>
          <w:rFonts w:ascii="Times New Roman" w:eastAsia="Times New Roman" w:hAnsi="Times New Roman" w:cs="Times New Roman"/>
          <w:sz w:val="26"/>
          <w:szCs w:val="26"/>
        </w:rPr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пункт 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РФ), которые квалифицируются по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данной статьи), подлежат квалификации по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 такие требования </w:t>
      </w:r>
      <w:hyperlink r:id="rId7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ПДД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РФ установлены, в частности, в следующих случаях: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Движение по дороге с двусторонним движением в нарушение требований дорожных </w:t>
      </w:r>
      <w:hyperlink r:id="rId7" w:anchor="/document/1305770/entry/3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3.20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запрещен", </w:t>
      </w:r>
      <w:hyperlink r:id="rId7" w:anchor="/document/1305770/entry/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"Обгон грузовым автомобилям запрещен", </w:t>
      </w:r>
      <w:hyperlink r:id="rId7" w:anchor="/document/1305770/entry/95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маршрутных транспортных средств", </w:t>
      </w:r>
      <w:hyperlink r:id="rId7" w:anchor="/document/1305770/entry/51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"Дорога с полосой для велосипедистов", </w:t>
      </w:r>
      <w:hyperlink r:id="rId7" w:anchor="/document/1305770/entry/9515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5.15.7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7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разметки 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7" w:anchor="/document/1305770/entry/21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7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4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 Невыполнение требований дорожных </w:t>
      </w:r>
      <w:hyperlink r:id="rId7" w:anchor="/document/1305770/entry/404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знаков 4.3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"Круговое движение", </w:t>
      </w:r>
      <w:hyperlink r:id="rId7" w:anchor="/document/1305770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"Въезд запрещен" (в том числе с </w:t>
      </w:r>
      <w:hyperlink r:id="rId7" w:anchor="/document/1305770/entry/981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табличкой 8.14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Петровым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видеофиксацией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26.2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ч. 4 ст. 12.15 Кодекса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обстоятельство, что он допустил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грубое нарушение порядка пользования правом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транспортными средствами.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Учитывая, установленные обстоятельства, судья считает возможным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Петрову И.Ю.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Петрова Иль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пятьсот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7rplc-6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40102810245370000007, номер счета получателя 03100643000000018700 в РКЦ Ханты-Мансийск//УФК по ХМАО-Югре г. Ханты-Мансийск, Вид платежа КБК 18811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18810486250910002168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9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20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Т.П. Постовалова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11">
    <w:name w:val="cat-ExternalSystemDefined grp-38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1rplc-15">
    <w:name w:val="cat-UserDefined grp-41 rplc-15"/>
    <w:basedOn w:val="DefaultParagraphFont"/>
  </w:style>
  <w:style w:type="character" w:customStyle="1" w:styleId="cat-ExternalSystemDefinedgrp-39rplc-17">
    <w:name w:val="cat-ExternalSystemDefined grp-39 rplc-17"/>
    <w:basedOn w:val="DefaultParagraphFont"/>
  </w:style>
  <w:style w:type="character" w:customStyle="1" w:styleId="cat-ExternalSystemDefinedgrp-36rplc-19">
    <w:name w:val="cat-ExternalSystemDefined grp-36 rplc-19"/>
    <w:basedOn w:val="DefaultParagraphFont"/>
  </w:style>
  <w:style w:type="character" w:customStyle="1" w:styleId="cat-UserDefinedgrp-42rplc-25">
    <w:name w:val="cat-UserDefined grp-42 rplc-25"/>
    <w:basedOn w:val="DefaultParagraphFont"/>
  </w:style>
  <w:style w:type="character" w:customStyle="1" w:styleId="cat-CarNumbergrp-29rplc-26">
    <w:name w:val="cat-CarNumber grp-29 rplc-26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2rplc-40">
    <w:name w:val="cat-UserDefined grp-42 rplc-40"/>
    <w:basedOn w:val="DefaultParagraphFont"/>
  </w:style>
  <w:style w:type="character" w:customStyle="1" w:styleId="cat-CarNumbergrp-29rplc-41">
    <w:name w:val="cat-CarNumber grp-29 rplc-41"/>
    <w:basedOn w:val="DefaultParagraphFont"/>
  </w:style>
  <w:style w:type="character" w:customStyle="1" w:styleId="cat-UserDefinedgrp-42rplc-46">
    <w:name w:val="cat-UserDefined grp-42 rplc-46"/>
    <w:basedOn w:val="DefaultParagraphFont"/>
  </w:style>
  <w:style w:type="character" w:customStyle="1" w:styleId="cat-CarNumbergrp-29rplc-47">
    <w:name w:val="cat-CarNumber grp-29 rplc-47"/>
    <w:basedOn w:val="DefaultParagraphFont"/>
  </w:style>
  <w:style w:type="character" w:customStyle="1" w:styleId="cat-ExternalSystemDefinedgrp-37rplc-48">
    <w:name w:val="cat-ExternalSystemDefined grp-37 rplc-48"/>
    <w:basedOn w:val="DefaultParagraphFont"/>
  </w:style>
  <w:style w:type="character" w:customStyle="1" w:styleId="cat-UserDefinedgrp-42rplc-51">
    <w:name w:val="cat-UserDefined grp-42 rplc-51"/>
    <w:basedOn w:val="DefaultParagraphFont"/>
  </w:style>
  <w:style w:type="character" w:customStyle="1" w:styleId="cat-CarNumbergrp-29rplc-52">
    <w:name w:val="cat-CarNumber grp-29 rplc-52"/>
    <w:basedOn w:val="DefaultParagraphFont"/>
  </w:style>
  <w:style w:type="character" w:customStyle="1" w:styleId="cat-OrganizationNamegrp-27rplc-62">
    <w:name w:val="cat-OrganizationName grp-27 rplc-62"/>
    <w:basedOn w:val="DefaultParagraphFont"/>
  </w:style>
  <w:style w:type="character" w:customStyle="1" w:styleId="cat-UserDefinedgrp-44rplc-69">
    <w:name w:val="cat-UserDefined grp-44 rplc-69"/>
    <w:basedOn w:val="DefaultParagraphFont"/>
  </w:style>
  <w:style w:type="character" w:customStyle="1" w:styleId="cat-UserDefinedgrp-45rplc-72">
    <w:name w:val="cat-UserDefined grp-45 rplc-7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6d85d3d522bb77876c524278464db710a481926/" TargetMode="External" /><Relationship Id="rId11" Type="http://schemas.openxmlformats.org/officeDocument/2006/relationships/hyperlink" Target="https://www.consultant.ru/document/cons_doc_LAW_480520/aa69183ecd988ed365aa7b0e5fffb687dc479b71/" TargetMode="External" /><Relationship Id="rId12" Type="http://schemas.openxmlformats.org/officeDocument/2006/relationships/hyperlink" Target="https://www.consultant.ru/document/cons_doc_LAW_480520/85ebd6cb5138b31da96b1488716a764c41d50496/" TargetMode="External" /><Relationship Id="rId13" Type="http://schemas.openxmlformats.org/officeDocument/2006/relationships/hyperlink" Target="https://www.consultant.ru/document/cons_doc_LAW_480520/2589a95e710dff5a9cba25e223c5d03303e8f45f/" TargetMode="External" /><Relationship Id="rId14" Type="http://schemas.openxmlformats.org/officeDocument/2006/relationships/hyperlink" Target="https://www.consultant.ru/document/cons_doc_LAW_480520/8e1db11085c966408d1ce0191aef369706a76759/" TargetMode="External" /><Relationship Id="rId15" Type="http://schemas.openxmlformats.org/officeDocument/2006/relationships/hyperlink" Target="https://www.consultant.ru/document/cons_doc_LAW_480520/3616f9cc443dbe11b6898b6fa10d5b67a307cb59/" TargetMode="External" /><Relationship Id="rId16" Type="http://schemas.openxmlformats.org/officeDocument/2006/relationships/hyperlink" Target="https://www.consultant.ru/document/cons_doc_LAW_480520/423d650543917f5abe5c2480d6fb3fca332f9d22/" TargetMode="External" /><Relationship Id="rId17" Type="http://schemas.openxmlformats.org/officeDocument/2006/relationships/hyperlink" Target="https://www.consultant.ru/document/cons_doc_LAW_480520/d52f28ae1e5997454d6d32a4336104e34ae0c87d/" TargetMode="External" /><Relationship Id="rId18" Type="http://schemas.openxmlformats.org/officeDocument/2006/relationships/hyperlink" Target="https://www.consultant.ru/document/cons_doc_LAW_480520/fe71cec502ee66689c92693910f30983ff4852aa/" TargetMode="External" /><Relationship Id="rId19" Type="http://schemas.openxmlformats.org/officeDocument/2006/relationships/hyperlink" Target="https://www.consultant.ru/document/cons_doc_LAW_480520/27b951a9ca374e6081930cfff85eabd581a523b1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9734adb3f4ad52d0fe265a97e85eab23d6dffe75/" TargetMode="Externa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s://www.consultant.ru/document/cons_doc_LAW_480520/ddf872bbf0198a5ffe733c85ac8e65649ba9824d/" TargetMode="External" /><Relationship Id="rId9" Type="http://schemas.openxmlformats.org/officeDocument/2006/relationships/hyperlink" Target="https://www.consultant.ru/document/cons_doc_LAW_480520/0a1fc4a4a97c33938faec3dea050cb4107c7948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